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EB019" w14:textId="1A01EE7C" w:rsidR="0079074D" w:rsidRPr="00D92B73" w:rsidRDefault="0079074D" w:rsidP="0079074D">
      <w:pPr>
        <w:spacing w:line="480" w:lineRule="auto"/>
        <w:ind w:right="-720"/>
        <w:rPr>
          <w:rFonts w:ascii="Avenir Next LT Pro" w:hAnsi="Avenir Next LT Pro" w:cs="Calibri"/>
          <w:b/>
          <w:bCs/>
        </w:rPr>
      </w:pPr>
      <w:r w:rsidRPr="00D92B73">
        <w:rPr>
          <w:rFonts w:ascii="Avenir Next LT Pro" w:hAnsi="Avenir Next LT Pro" w:cs="Calibri"/>
          <w:b/>
          <w:bCs/>
          <w:noProof/>
        </w:rPr>
        <w:drawing>
          <wp:inline distT="0" distB="0" distL="0" distR="0" wp14:anchorId="5726D8BF" wp14:editId="12DD1276">
            <wp:extent cx="2696240" cy="336495"/>
            <wp:effectExtent l="0" t="0" r="0" b="0"/>
            <wp:docPr id="1773325285"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325285" name="Picture 1" descr="A black background with a black square&#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33110" cy="465898"/>
                    </a:xfrm>
                    <a:prstGeom prst="rect">
                      <a:avLst/>
                    </a:prstGeom>
                  </pic:spPr>
                </pic:pic>
              </a:graphicData>
            </a:graphic>
          </wp:inline>
        </w:drawing>
      </w:r>
    </w:p>
    <w:p w14:paraId="102829B2" w14:textId="77777777" w:rsidR="0079074D" w:rsidRPr="00D92B73" w:rsidRDefault="0079074D" w:rsidP="0079074D">
      <w:pPr>
        <w:ind w:left="-720" w:right="-720"/>
        <w:rPr>
          <w:rFonts w:ascii="Avenir Next LT Pro" w:hAnsi="Avenir Next LT Pro" w:cs="Calibri"/>
          <w:b/>
          <w:bCs/>
          <w:color w:val="000000" w:themeColor="text1"/>
        </w:rPr>
      </w:pPr>
    </w:p>
    <w:p w14:paraId="00851F15" w14:textId="77777777" w:rsidR="00B80BE5" w:rsidRPr="00D92B73" w:rsidRDefault="00B80BE5" w:rsidP="00B80BE5">
      <w:pPr>
        <w:spacing w:after="240" w:line="240" w:lineRule="auto"/>
        <w:rPr>
          <w:rFonts w:ascii="Avenir Next LT Pro" w:eastAsia="Pretendard" w:hAnsi="Avenir Next LT Pro"/>
          <w:color w:val="000000" w:themeColor="text1"/>
          <w:sz w:val="20"/>
          <w:szCs w:val="20"/>
        </w:rPr>
      </w:pPr>
      <w:r w:rsidRPr="00D92B73">
        <w:rPr>
          <w:rFonts w:ascii="Avenir Next LT Pro" w:eastAsia="Pretendard" w:hAnsi="Avenir Next LT Pro"/>
          <w:color w:val="000000" w:themeColor="text1"/>
          <w:sz w:val="20"/>
          <w:szCs w:val="20"/>
        </w:rPr>
        <w:t>Dear referring provider:</w:t>
      </w:r>
    </w:p>
    <w:p w14:paraId="0E061BBC" w14:textId="627440FE" w:rsidR="00B80BE5" w:rsidRPr="00D92B73" w:rsidRDefault="00B80BE5" w:rsidP="00B80BE5">
      <w:pPr>
        <w:spacing w:after="240" w:line="240" w:lineRule="auto"/>
        <w:rPr>
          <w:rFonts w:ascii="Avenir Next LT Pro" w:eastAsia="Pretendard" w:hAnsi="Avenir Next LT Pro"/>
          <w:color w:val="000000" w:themeColor="text1"/>
          <w:sz w:val="20"/>
          <w:szCs w:val="20"/>
        </w:rPr>
      </w:pPr>
      <w:r w:rsidRPr="00D92B73">
        <w:rPr>
          <w:rFonts w:ascii="Avenir Next LT Pro" w:eastAsia="Pretendard" w:hAnsi="Avenir Next LT Pro"/>
          <w:color w:val="000000" w:themeColor="text1"/>
          <w:sz w:val="20"/>
          <w:szCs w:val="20"/>
        </w:rPr>
        <w:t>In our ongoing efforts to find breast cancer at its earliest stage, (</w:t>
      </w:r>
      <w:r w:rsidR="00BD4ED1" w:rsidRPr="00D92B73">
        <w:rPr>
          <w:rFonts w:ascii="Avenir Next LT Pro" w:eastAsia="Pretendard" w:hAnsi="Avenir Next LT Pro"/>
          <w:color w:val="000000" w:themeColor="text1"/>
          <w:sz w:val="20"/>
          <w:szCs w:val="20"/>
          <w:highlight w:val="yellow"/>
        </w:rPr>
        <w:t xml:space="preserve">Facility </w:t>
      </w:r>
      <w:r w:rsidR="00131B43" w:rsidRPr="00D92B73">
        <w:rPr>
          <w:rFonts w:ascii="Avenir Next LT Pro" w:eastAsia="Pretendard" w:hAnsi="Avenir Next LT Pro"/>
          <w:color w:val="000000" w:themeColor="text1"/>
          <w:sz w:val="20"/>
          <w:szCs w:val="20"/>
          <w:highlight w:val="yellow"/>
        </w:rPr>
        <w:t>N</w:t>
      </w:r>
      <w:r w:rsidR="00BD4ED1" w:rsidRPr="00D92B73">
        <w:rPr>
          <w:rFonts w:ascii="Avenir Next LT Pro" w:eastAsia="Pretendard" w:hAnsi="Avenir Next LT Pro"/>
          <w:color w:val="000000" w:themeColor="text1"/>
          <w:sz w:val="20"/>
          <w:szCs w:val="20"/>
          <w:highlight w:val="yellow"/>
        </w:rPr>
        <w:t>ame</w:t>
      </w:r>
      <w:r w:rsidRPr="00D92B73">
        <w:rPr>
          <w:rFonts w:ascii="Avenir Next LT Pro" w:eastAsia="Pretendard" w:hAnsi="Avenir Next LT Pro"/>
          <w:color w:val="000000" w:themeColor="text1"/>
          <w:sz w:val="20"/>
          <w:szCs w:val="20"/>
        </w:rPr>
        <w:t>) has invested in a new AI technology, “</w:t>
      </w:r>
      <w:proofErr w:type="spellStart"/>
      <w:r w:rsidRPr="00D92B73">
        <w:rPr>
          <w:rFonts w:ascii="Avenir Next LT Pro" w:eastAsia="Pretendard" w:hAnsi="Avenir Next LT Pro"/>
          <w:color w:val="000000" w:themeColor="text1"/>
          <w:sz w:val="20"/>
          <w:szCs w:val="20"/>
        </w:rPr>
        <w:t>SecondReadAI</w:t>
      </w:r>
      <w:proofErr w:type="spellEnd"/>
      <w:r w:rsidR="002864F4" w:rsidRPr="00D92B73">
        <w:rPr>
          <w:rFonts w:ascii="Avenir Next LT Pro" w:eastAsia="Pretendard" w:hAnsi="Avenir Next LT Pro"/>
          <w:color w:val="000000" w:themeColor="text1"/>
          <w:sz w:val="20"/>
          <w:szCs w:val="20"/>
          <w:vertAlign w:val="superscript"/>
        </w:rPr>
        <w:t>™</w:t>
      </w:r>
      <w:r w:rsidRPr="00D92B73">
        <w:rPr>
          <w:rFonts w:ascii="Avenir Next LT Pro" w:eastAsia="Pretendard" w:hAnsi="Avenir Next LT Pro"/>
          <w:color w:val="000000" w:themeColor="text1"/>
          <w:sz w:val="20"/>
          <w:szCs w:val="20"/>
        </w:rPr>
        <w:t xml:space="preserve">, powered by </w:t>
      </w:r>
      <w:proofErr w:type="spellStart"/>
      <w:r w:rsidRPr="00D92B73">
        <w:rPr>
          <w:rFonts w:ascii="Avenir Next LT Pro" w:eastAsia="Pretendard" w:hAnsi="Avenir Next LT Pro"/>
          <w:color w:val="000000" w:themeColor="text1"/>
          <w:sz w:val="20"/>
          <w:szCs w:val="20"/>
        </w:rPr>
        <w:t>Lunit</w:t>
      </w:r>
      <w:proofErr w:type="spellEnd"/>
      <w:r w:rsidRPr="00D92B73">
        <w:rPr>
          <w:rFonts w:ascii="Avenir Next LT Pro" w:eastAsia="Pretendard" w:hAnsi="Avenir Next LT Pro"/>
          <w:color w:val="000000" w:themeColor="text1"/>
          <w:sz w:val="20"/>
          <w:szCs w:val="20"/>
        </w:rPr>
        <w:t>,</w:t>
      </w:r>
      <w:r w:rsidR="007A3286" w:rsidRPr="00D92B73">
        <w:rPr>
          <w:rFonts w:ascii="Avenir Next LT Pro" w:eastAsia="Pretendard" w:hAnsi="Avenir Next LT Pro"/>
          <w:color w:val="000000" w:themeColor="text1"/>
          <w:sz w:val="20"/>
          <w:szCs w:val="20"/>
        </w:rPr>
        <w:t>”</w:t>
      </w:r>
      <w:r w:rsidRPr="00D92B73">
        <w:rPr>
          <w:rFonts w:ascii="Avenir Next LT Pro" w:eastAsia="Pretendard" w:hAnsi="Avenir Next LT Pro"/>
          <w:color w:val="000000" w:themeColor="text1"/>
          <w:sz w:val="20"/>
          <w:szCs w:val="20"/>
        </w:rPr>
        <w:t xml:space="preserve"> to provide additional precision evaluation of mammograms. This </w:t>
      </w:r>
      <w:r w:rsidR="00131B43" w:rsidRPr="00D92B73">
        <w:rPr>
          <w:rFonts w:ascii="Avenir Next LT Pro" w:eastAsia="Pretendard" w:hAnsi="Avenir Next LT Pro"/>
          <w:color w:val="000000" w:themeColor="text1"/>
          <w:sz w:val="20"/>
          <w:szCs w:val="20"/>
        </w:rPr>
        <w:t xml:space="preserve">second, </w:t>
      </w:r>
      <w:r w:rsidRPr="00D92B73">
        <w:rPr>
          <w:rFonts w:ascii="Avenir Next LT Pro" w:eastAsia="Pretendard" w:hAnsi="Avenir Next LT Pro"/>
          <w:color w:val="000000" w:themeColor="text1"/>
          <w:sz w:val="20"/>
          <w:szCs w:val="20"/>
        </w:rPr>
        <w:t>digital review can detect fine details and tissue changes that might not be visible to the human eye. Clinical studies have shown this exciting technology increases early-stage breast cancer detection by as much as 15</w:t>
      </w:r>
      <w:proofErr w:type="gramStart"/>
      <w:r w:rsidRPr="00D92B73">
        <w:rPr>
          <w:rFonts w:ascii="Avenir Next LT Pro" w:eastAsia="Pretendard" w:hAnsi="Avenir Next LT Pro"/>
          <w:color w:val="000000" w:themeColor="text1"/>
          <w:sz w:val="20"/>
          <w:szCs w:val="20"/>
        </w:rPr>
        <w:t>%.</w:t>
      </w:r>
      <w:r w:rsidR="00131B43" w:rsidRPr="00D92B73">
        <w:rPr>
          <w:rFonts w:ascii="Avenir Next LT Pro" w:eastAsia="Pretendard" w:hAnsi="Avenir Next LT Pro"/>
          <w:color w:val="000000" w:themeColor="text1"/>
          <w:sz w:val="20"/>
          <w:szCs w:val="20"/>
          <w:vertAlign w:val="superscript"/>
        </w:rPr>
        <w:t>*</w:t>
      </w:r>
      <w:proofErr w:type="gramEnd"/>
      <w:r w:rsidR="00EA7110" w:rsidRPr="00D92B73">
        <w:rPr>
          <w:rFonts w:ascii="Avenir Next LT Pro" w:eastAsia="Pretendard" w:hAnsi="Avenir Next LT Pro"/>
          <w:color w:val="000000" w:themeColor="text1"/>
          <w:sz w:val="20"/>
          <w:szCs w:val="20"/>
          <w:vertAlign w:val="superscript"/>
        </w:rPr>
        <w:t xml:space="preserve"> </w:t>
      </w:r>
      <w:r w:rsidR="00EA7110" w:rsidRPr="00D92B73">
        <w:rPr>
          <w:rFonts w:ascii="Avenir Next LT Pro" w:eastAsia="Pretendard SemiBold" w:hAnsi="Avenir Next LT Pro" w:cs="Arial (Body CS)"/>
          <w:b/>
          <w:bCs/>
          <w:color w:val="00B0F0"/>
          <w:position w:val="2"/>
          <w:sz w:val="20"/>
          <w:szCs w:val="20"/>
          <w:vertAlign w:val="superscript"/>
        </w:rPr>
        <w:t>+</w:t>
      </w:r>
    </w:p>
    <w:p w14:paraId="1B62AA21" w14:textId="40F8B596" w:rsidR="00B80BE5" w:rsidRPr="00D92B73" w:rsidRDefault="00B80BE5" w:rsidP="00B80BE5">
      <w:pPr>
        <w:spacing w:after="240" w:line="240" w:lineRule="auto"/>
        <w:rPr>
          <w:rFonts w:ascii="Avenir Next LT Pro" w:eastAsia="Pretendard" w:hAnsi="Avenir Next LT Pro"/>
          <w:color w:val="000000" w:themeColor="text1"/>
          <w:sz w:val="20"/>
          <w:szCs w:val="20"/>
        </w:rPr>
      </w:pPr>
      <w:r w:rsidRPr="00D92B73">
        <w:rPr>
          <w:rFonts w:ascii="Avenir Next LT Pro" w:eastAsia="Pretendard" w:hAnsi="Avenir Next LT Pro"/>
          <w:color w:val="000000" w:themeColor="text1"/>
          <w:sz w:val="20"/>
          <w:szCs w:val="20"/>
        </w:rPr>
        <w:t xml:space="preserve">We are offering SecondReadAI as an optional service to patients for an out-of-pocket charge of </w:t>
      </w:r>
      <w:r w:rsidRPr="00D92B73">
        <w:rPr>
          <w:rFonts w:ascii="Avenir Next LT Pro" w:eastAsia="Pretendard" w:hAnsi="Avenir Next LT Pro"/>
          <w:color w:val="000000" w:themeColor="text1"/>
          <w:sz w:val="20"/>
          <w:szCs w:val="20"/>
          <w:highlight w:val="yellow"/>
        </w:rPr>
        <w:t>($</w:t>
      </w:r>
      <w:r w:rsidR="00131B43" w:rsidRPr="00D92B73">
        <w:rPr>
          <w:rFonts w:ascii="Avenir Next LT Pro" w:eastAsia="Pretendard" w:hAnsi="Avenir Next LT Pro"/>
          <w:color w:val="000000" w:themeColor="text1"/>
          <w:sz w:val="20"/>
          <w:szCs w:val="20"/>
          <w:highlight w:val="yellow"/>
        </w:rPr>
        <w:t>XX</w:t>
      </w:r>
      <w:r w:rsidRPr="00D92B73">
        <w:rPr>
          <w:rFonts w:ascii="Avenir Next LT Pro" w:eastAsia="Pretendard" w:hAnsi="Avenir Next LT Pro"/>
          <w:color w:val="000000" w:themeColor="text1"/>
          <w:sz w:val="20"/>
          <w:szCs w:val="20"/>
        </w:rPr>
        <w:t>). Personal health reimbursement accounts such as HSAs and FSAs can be used as payment sources. The service is available at (</w:t>
      </w:r>
      <w:r w:rsidR="00BD4ED1" w:rsidRPr="00D92B73">
        <w:rPr>
          <w:rFonts w:ascii="Avenir Next LT Pro" w:eastAsia="Pretendard" w:hAnsi="Avenir Next LT Pro"/>
          <w:color w:val="000000" w:themeColor="text1"/>
          <w:sz w:val="20"/>
          <w:szCs w:val="20"/>
          <w:highlight w:val="yellow"/>
        </w:rPr>
        <w:t>insert locations</w:t>
      </w:r>
      <w:r w:rsidRPr="00D92B73">
        <w:rPr>
          <w:rFonts w:ascii="Avenir Next LT Pro" w:eastAsia="Pretendard" w:hAnsi="Avenir Next LT Pro"/>
          <w:color w:val="000000" w:themeColor="text1"/>
          <w:sz w:val="20"/>
          <w:szCs w:val="20"/>
        </w:rPr>
        <w:t>) and coming soon to (</w:t>
      </w:r>
      <w:r w:rsidR="00BD4ED1" w:rsidRPr="00D92B73">
        <w:rPr>
          <w:rFonts w:ascii="Avenir Next LT Pro" w:eastAsia="Pretendard" w:hAnsi="Avenir Next LT Pro"/>
          <w:color w:val="000000" w:themeColor="text1"/>
          <w:sz w:val="20"/>
          <w:szCs w:val="20"/>
          <w:highlight w:val="yellow"/>
        </w:rPr>
        <w:t>insert locations</w:t>
      </w:r>
      <w:r w:rsidRPr="00D92B73">
        <w:rPr>
          <w:rFonts w:ascii="Avenir Next LT Pro" w:eastAsia="Pretendard" w:hAnsi="Avenir Next LT Pro"/>
          <w:color w:val="000000" w:themeColor="text1"/>
          <w:sz w:val="20"/>
          <w:szCs w:val="20"/>
        </w:rPr>
        <w:t>).</w:t>
      </w:r>
    </w:p>
    <w:p w14:paraId="3325871F" w14:textId="77777777" w:rsidR="00B80BE5" w:rsidRPr="00D92B73" w:rsidRDefault="00B80BE5" w:rsidP="00B80BE5">
      <w:pPr>
        <w:spacing w:before="480" w:after="120" w:line="240" w:lineRule="auto"/>
        <w:rPr>
          <w:rFonts w:ascii="Avenir Next LT Pro" w:eastAsia="Pretendard" w:hAnsi="Avenir Next LT Pro"/>
          <w:b/>
          <w:bCs/>
          <w:color w:val="00C9EA"/>
          <w:sz w:val="24"/>
          <w:szCs w:val="24"/>
        </w:rPr>
      </w:pPr>
      <w:r w:rsidRPr="00D92B73">
        <w:rPr>
          <w:rFonts w:ascii="Avenir Next LT Pro" w:eastAsia="Pretendard" w:hAnsi="Avenir Next LT Pro"/>
          <w:b/>
          <w:bCs/>
          <w:color w:val="00C9EA"/>
          <w:sz w:val="24"/>
          <w:szCs w:val="24"/>
        </w:rPr>
        <w:t>Why SecondReadAI?</w:t>
      </w:r>
    </w:p>
    <w:p w14:paraId="41BD8B43" w14:textId="3966591B" w:rsidR="00B80BE5" w:rsidRPr="00D92B73" w:rsidRDefault="00B80BE5" w:rsidP="00B80BE5">
      <w:pPr>
        <w:spacing w:after="240" w:line="240" w:lineRule="auto"/>
        <w:rPr>
          <w:rFonts w:ascii="Avenir Next LT Pro" w:eastAsia="Pretendard" w:hAnsi="Avenir Next LT Pro"/>
          <w:color w:val="000000" w:themeColor="text1"/>
          <w:sz w:val="20"/>
          <w:szCs w:val="20"/>
        </w:rPr>
      </w:pPr>
      <w:r w:rsidRPr="00D92B73">
        <w:rPr>
          <w:rFonts w:ascii="Avenir Next LT Pro" w:eastAsia="Pretendard" w:hAnsi="Avenir Next LT Pro"/>
          <w:color w:val="000000" w:themeColor="text1"/>
          <w:sz w:val="20"/>
          <w:szCs w:val="20"/>
        </w:rPr>
        <w:t xml:space="preserve">Early detection is essential to achieving the best outcomes. </w:t>
      </w:r>
      <w:proofErr w:type="spellStart"/>
      <w:r w:rsidRPr="00D92B73">
        <w:rPr>
          <w:rFonts w:ascii="Avenir Next LT Pro" w:eastAsia="Pretendard" w:hAnsi="Avenir Next LT Pro"/>
          <w:color w:val="000000" w:themeColor="text1"/>
          <w:sz w:val="20"/>
          <w:szCs w:val="20"/>
        </w:rPr>
        <w:t>SecondReadAI</w:t>
      </w:r>
      <w:proofErr w:type="spellEnd"/>
      <w:r w:rsidRPr="00D92B73">
        <w:rPr>
          <w:rFonts w:ascii="Avenir Next LT Pro" w:eastAsia="Pretendard" w:hAnsi="Avenir Next LT Pro"/>
          <w:color w:val="000000" w:themeColor="text1"/>
          <w:sz w:val="20"/>
          <w:szCs w:val="20"/>
        </w:rPr>
        <w:t xml:space="preserve"> provides radiologists decision support </w:t>
      </w:r>
      <w:r w:rsidR="00EA7110" w:rsidRPr="00D92B73">
        <w:rPr>
          <w:rFonts w:ascii="Avenir Next LT Pro" w:eastAsia="Pretendard" w:hAnsi="Avenir Next LT Pro"/>
          <w:color w:val="000000" w:themeColor="text1"/>
          <w:sz w:val="20"/>
          <w:szCs w:val="20"/>
        </w:rPr>
        <w:t xml:space="preserve">to find cancers sooner </w:t>
      </w:r>
      <w:r w:rsidRPr="00D92B73">
        <w:rPr>
          <w:rFonts w:ascii="Avenir Next LT Pro" w:eastAsia="Pretendard" w:hAnsi="Avenir Next LT Pro"/>
          <w:color w:val="000000" w:themeColor="text1"/>
          <w:sz w:val="20"/>
          <w:szCs w:val="20"/>
        </w:rPr>
        <w:t>and additional insights into patient risk that could lead to supplemental screening recommendations or enhanced surveillance for high-risk patients.</w:t>
      </w:r>
    </w:p>
    <w:p w14:paraId="1F94671D" w14:textId="77777777" w:rsidR="00B80BE5" w:rsidRPr="00D92B73" w:rsidRDefault="00B80BE5" w:rsidP="00B80BE5">
      <w:pPr>
        <w:spacing w:before="480" w:after="120" w:line="240" w:lineRule="auto"/>
        <w:rPr>
          <w:rFonts w:ascii="Avenir Next LT Pro" w:eastAsia="Pretendard" w:hAnsi="Avenir Next LT Pro"/>
          <w:b/>
          <w:bCs/>
          <w:color w:val="00C9EA"/>
          <w:sz w:val="24"/>
          <w:szCs w:val="24"/>
        </w:rPr>
      </w:pPr>
      <w:r w:rsidRPr="00D92B73">
        <w:rPr>
          <w:rFonts w:ascii="Avenir Next LT Pro" w:eastAsia="Pretendard" w:hAnsi="Avenir Next LT Pro"/>
          <w:b/>
          <w:bCs/>
          <w:color w:val="00C9EA"/>
          <w:sz w:val="24"/>
          <w:szCs w:val="24"/>
        </w:rPr>
        <w:t>Educating patients</w:t>
      </w:r>
    </w:p>
    <w:p w14:paraId="1B4496A2" w14:textId="44D7CB0A" w:rsidR="00B80BE5" w:rsidRPr="00D92B73" w:rsidRDefault="00B80BE5" w:rsidP="00B80BE5">
      <w:pPr>
        <w:spacing w:after="240" w:line="240" w:lineRule="auto"/>
        <w:rPr>
          <w:rFonts w:ascii="Avenir Next LT Pro" w:eastAsia="Pretendard" w:hAnsi="Avenir Next LT Pro"/>
          <w:color w:val="000000" w:themeColor="text1"/>
          <w:sz w:val="20"/>
          <w:szCs w:val="20"/>
        </w:rPr>
      </w:pPr>
      <w:r w:rsidRPr="00D92B73">
        <w:rPr>
          <w:rFonts w:ascii="Avenir Next LT Pro" w:eastAsia="Pretendard" w:hAnsi="Avenir Next LT Pro"/>
          <w:color w:val="000000" w:themeColor="text1"/>
          <w:sz w:val="20"/>
          <w:szCs w:val="20"/>
        </w:rPr>
        <w:t xml:space="preserve">You are a crucial information source for patients. We ask for your continued partnership in educating them about the importance of risk assessment starting at age 25 and annual mammograms for patients 40 years old and over. We also request your support to inform them of the availability of SecondReadAI analysis which may help reduce their anxiety and offer more assurance in their mammography report. </w:t>
      </w:r>
    </w:p>
    <w:p w14:paraId="31538930" w14:textId="77777777" w:rsidR="00B80BE5" w:rsidRPr="00D92B73" w:rsidRDefault="00B80BE5" w:rsidP="00B80BE5">
      <w:pPr>
        <w:spacing w:before="480" w:after="120" w:line="240" w:lineRule="auto"/>
        <w:rPr>
          <w:rFonts w:ascii="Avenir Next LT Pro" w:eastAsia="Pretendard" w:hAnsi="Avenir Next LT Pro"/>
          <w:b/>
          <w:bCs/>
          <w:color w:val="00C9EA"/>
          <w:sz w:val="24"/>
          <w:szCs w:val="24"/>
        </w:rPr>
      </w:pPr>
      <w:r w:rsidRPr="00D92B73">
        <w:rPr>
          <w:rFonts w:ascii="Avenir Next LT Pro" w:eastAsia="Pretendard" w:hAnsi="Avenir Next LT Pro"/>
          <w:b/>
          <w:bCs/>
          <w:color w:val="00C9EA"/>
          <w:sz w:val="24"/>
          <w:szCs w:val="24"/>
        </w:rPr>
        <w:t>Finding more cancers</w:t>
      </w:r>
    </w:p>
    <w:p w14:paraId="6CC2C316" w14:textId="77777777" w:rsidR="00B80BE5" w:rsidRPr="00D92B73" w:rsidRDefault="00B80BE5" w:rsidP="00B80BE5">
      <w:pPr>
        <w:spacing w:after="120" w:line="240" w:lineRule="auto"/>
        <w:rPr>
          <w:rFonts w:ascii="Avenir Next LT Pro" w:eastAsia="Pretendard" w:hAnsi="Avenir Next LT Pro"/>
          <w:color w:val="000000" w:themeColor="text1"/>
          <w:sz w:val="20"/>
          <w:szCs w:val="20"/>
        </w:rPr>
      </w:pPr>
      <w:r w:rsidRPr="00D92B73">
        <w:rPr>
          <w:rFonts w:ascii="Avenir Next LT Pro" w:eastAsia="Pretendard" w:hAnsi="Avenir Next LT Pro"/>
          <w:color w:val="000000" w:themeColor="text1"/>
          <w:sz w:val="20"/>
          <w:szCs w:val="20"/>
        </w:rPr>
        <w:t>Thank you for your partnership in helping women achieve early detection of breast cancer. We believe SecondReadAI is a great advancement in patient care. If you have questions or would like to discuss this new tool, please contact our team:</w:t>
      </w:r>
    </w:p>
    <w:p w14:paraId="06C31C3B" w14:textId="54863453" w:rsidR="00B80BE5" w:rsidRPr="00D92B73" w:rsidRDefault="00B80BE5" w:rsidP="00B80BE5">
      <w:pPr>
        <w:pStyle w:val="ListParagraph"/>
        <w:numPr>
          <w:ilvl w:val="0"/>
          <w:numId w:val="4"/>
        </w:numPr>
        <w:spacing w:after="120" w:line="240" w:lineRule="auto"/>
        <w:contextualSpacing w:val="0"/>
        <w:rPr>
          <w:rFonts w:ascii="Avenir Next LT Pro" w:eastAsia="Pretendard" w:hAnsi="Avenir Next LT Pro"/>
          <w:color w:val="000000" w:themeColor="text1"/>
          <w:sz w:val="20"/>
          <w:szCs w:val="20"/>
          <w:highlight w:val="yellow"/>
        </w:rPr>
      </w:pPr>
      <w:r w:rsidRPr="00D92B73">
        <w:rPr>
          <w:rFonts w:ascii="Avenir Next LT Pro" w:eastAsia="Pretendard" w:hAnsi="Avenir Next LT Pro"/>
          <w:color w:val="000000" w:themeColor="text1"/>
          <w:sz w:val="20"/>
          <w:szCs w:val="20"/>
          <w:highlight w:val="yellow"/>
        </w:rPr>
        <w:t>(</w:t>
      </w:r>
      <w:r w:rsidR="002864F4" w:rsidRPr="00D92B73">
        <w:rPr>
          <w:rFonts w:ascii="Avenir Next LT Pro" w:eastAsia="Pretendard" w:hAnsi="Avenir Next LT Pro"/>
          <w:color w:val="000000" w:themeColor="text1"/>
          <w:sz w:val="20"/>
          <w:szCs w:val="20"/>
          <w:highlight w:val="yellow"/>
        </w:rPr>
        <w:t>C</w:t>
      </w:r>
      <w:r w:rsidRPr="00D92B73">
        <w:rPr>
          <w:rFonts w:ascii="Avenir Next LT Pro" w:eastAsia="Pretendard" w:hAnsi="Avenir Next LT Pro"/>
          <w:color w:val="000000" w:themeColor="text1"/>
          <w:sz w:val="20"/>
          <w:szCs w:val="20"/>
          <w:highlight w:val="yellow"/>
        </w:rPr>
        <w:t xml:space="preserve">ontact name and information </w:t>
      </w:r>
      <w:r w:rsidR="00B45B12" w:rsidRPr="00D92B73">
        <w:rPr>
          <w:rFonts w:ascii="Avenir Next LT Pro" w:eastAsia="Pretendard" w:hAnsi="Avenir Next LT Pro"/>
          <w:color w:val="000000" w:themeColor="text1"/>
          <w:sz w:val="20"/>
          <w:szCs w:val="20"/>
          <w:highlight w:val="yellow"/>
        </w:rPr>
        <w:t xml:space="preserve">for </w:t>
      </w:r>
      <w:r w:rsidRPr="00D92B73">
        <w:rPr>
          <w:rFonts w:ascii="Avenir Next LT Pro" w:eastAsia="Pretendard" w:hAnsi="Avenir Next LT Pro"/>
          <w:color w:val="000000" w:themeColor="text1"/>
          <w:sz w:val="20"/>
          <w:szCs w:val="20"/>
          <w:highlight w:val="yellow"/>
        </w:rPr>
        <w:t>Radiology Manager)</w:t>
      </w:r>
    </w:p>
    <w:p w14:paraId="62C0A14C" w14:textId="0104415D" w:rsidR="00B80BE5" w:rsidRPr="00D92B73" w:rsidRDefault="00B80BE5" w:rsidP="00B80BE5">
      <w:pPr>
        <w:pStyle w:val="ListParagraph"/>
        <w:numPr>
          <w:ilvl w:val="0"/>
          <w:numId w:val="4"/>
        </w:numPr>
        <w:spacing w:after="240" w:line="240" w:lineRule="auto"/>
        <w:rPr>
          <w:rFonts w:ascii="Avenir Next LT Pro" w:eastAsia="Pretendard" w:hAnsi="Avenir Next LT Pro"/>
          <w:color w:val="000000" w:themeColor="text1"/>
          <w:sz w:val="20"/>
          <w:szCs w:val="20"/>
          <w:highlight w:val="yellow"/>
        </w:rPr>
      </w:pPr>
      <w:r w:rsidRPr="00D92B73">
        <w:rPr>
          <w:rFonts w:ascii="Avenir Next LT Pro" w:eastAsia="Pretendard" w:hAnsi="Avenir Next LT Pro"/>
          <w:color w:val="000000" w:themeColor="text1"/>
          <w:sz w:val="20"/>
          <w:szCs w:val="20"/>
          <w:highlight w:val="yellow"/>
        </w:rPr>
        <w:t xml:space="preserve">(Contact name and information </w:t>
      </w:r>
      <w:r w:rsidR="00B45B12" w:rsidRPr="00D92B73">
        <w:rPr>
          <w:rFonts w:ascii="Avenir Next LT Pro" w:eastAsia="Pretendard" w:hAnsi="Avenir Next LT Pro"/>
          <w:color w:val="000000" w:themeColor="text1"/>
          <w:sz w:val="20"/>
          <w:szCs w:val="20"/>
          <w:highlight w:val="yellow"/>
        </w:rPr>
        <w:t xml:space="preserve">for </w:t>
      </w:r>
      <w:r w:rsidRPr="00D92B73">
        <w:rPr>
          <w:rFonts w:ascii="Avenir Next LT Pro" w:eastAsia="Pretendard" w:hAnsi="Avenir Next LT Pro"/>
          <w:color w:val="000000" w:themeColor="text1"/>
          <w:sz w:val="20"/>
          <w:szCs w:val="20"/>
          <w:highlight w:val="yellow"/>
        </w:rPr>
        <w:t>Chief Radiologist)</w:t>
      </w:r>
    </w:p>
    <w:p w14:paraId="470A2148" w14:textId="5BB5F6F8" w:rsidR="00B80BE5" w:rsidRPr="00D92B73" w:rsidRDefault="00D92B73" w:rsidP="00283313">
      <w:pPr>
        <w:spacing w:after="240" w:line="240" w:lineRule="auto"/>
        <w:ind w:right="-1440"/>
        <w:jc w:val="right"/>
        <w:rPr>
          <w:rFonts w:ascii="Avenir Next LT Pro" w:eastAsia="Pretendard" w:hAnsi="Avenir Next LT Pro"/>
          <w:i/>
          <w:iCs/>
          <w:color w:val="535453"/>
          <w:sz w:val="20"/>
          <w:szCs w:val="20"/>
        </w:rPr>
      </w:pPr>
      <w:r w:rsidRPr="00D92B73">
        <w:rPr>
          <w:rFonts w:ascii="Avenir Next LT Pro" w:eastAsia="Pretendard" w:hAnsi="Avenir Next LT Pro"/>
          <w:noProof/>
          <w:color w:val="535453"/>
          <w:sz w:val="20"/>
          <w:szCs w:val="20"/>
        </w:rPr>
        <w:drawing>
          <wp:anchor distT="0" distB="0" distL="114300" distR="114300" simplePos="0" relativeHeight="251662336" behindDoc="1" locked="0" layoutInCell="1" allowOverlap="1" wp14:anchorId="797A47F2" wp14:editId="73D02309">
            <wp:simplePos x="0" y="0"/>
            <wp:positionH relativeFrom="column">
              <wp:posOffset>4765853</wp:posOffset>
            </wp:positionH>
            <wp:positionV relativeFrom="paragraph">
              <wp:posOffset>1562837</wp:posOffset>
            </wp:positionV>
            <wp:extent cx="2545334" cy="762634"/>
            <wp:effectExtent l="0" t="0" r="0" b="0"/>
            <wp:wrapNone/>
            <wp:docPr id="17743437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343706"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5334" cy="762634"/>
                    </a:xfrm>
                    <a:prstGeom prst="rect">
                      <a:avLst/>
                    </a:prstGeom>
                  </pic:spPr>
                </pic:pic>
              </a:graphicData>
            </a:graphic>
            <wp14:sizeRelH relativeFrom="page">
              <wp14:pctWidth>0</wp14:pctWidth>
            </wp14:sizeRelH>
            <wp14:sizeRelV relativeFrom="page">
              <wp14:pctHeight>0</wp14:pctHeight>
            </wp14:sizeRelV>
          </wp:anchor>
        </w:drawing>
      </w:r>
      <w:r w:rsidRPr="00D92B73">
        <w:rPr>
          <w:rFonts w:ascii="Avenir Next LT Pro" w:eastAsia="Pretendard" w:hAnsi="Avenir Next LT Pro"/>
          <w:i/>
          <w:iCs/>
          <w:noProof/>
          <w:color w:val="535453"/>
          <w:sz w:val="20"/>
          <w:szCs w:val="20"/>
        </w:rPr>
        <mc:AlternateContent>
          <mc:Choice Requires="wps">
            <w:drawing>
              <wp:anchor distT="0" distB="0" distL="114300" distR="114300" simplePos="0" relativeHeight="251659264" behindDoc="0" locked="0" layoutInCell="1" allowOverlap="1" wp14:anchorId="3A26CF62" wp14:editId="31F7E544">
                <wp:simplePos x="0" y="0"/>
                <wp:positionH relativeFrom="column">
                  <wp:posOffset>5830570</wp:posOffset>
                </wp:positionH>
                <wp:positionV relativeFrom="paragraph">
                  <wp:posOffset>2320290</wp:posOffset>
                </wp:positionV>
                <wp:extent cx="662305" cy="259080"/>
                <wp:effectExtent l="0" t="0" r="0" b="0"/>
                <wp:wrapNone/>
                <wp:docPr id="1904861294" name="Text Box 1"/>
                <wp:cNvGraphicFramePr/>
                <a:graphic xmlns:a="http://schemas.openxmlformats.org/drawingml/2006/main">
                  <a:graphicData uri="http://schemas.microsoft.com/office/word/2010/wordprocessingShape">
                    <wps:wsp>
                      <wps:cNvSpPr txBox="1"/>
                      <wps:spPr>
                        <a:xfrm>
                          <a:off x="0" y="0"/>
                          <a:ext cx="662305" cy="259080"/>
                        </a:xfrm>
                        <a:prstGeom prst="rect">
                          <a:avLst/>
                        </a:prstGeom>
                        <a:noFill/>
                        <a:ln w="6350">
                          <a:noFill/>
                        </a:ln>
                      </wps:spPr>
                      <wps:txbx>
                        <w:txbxContent>
                          <w:p w14:paraId="54E5F07D" w14:textId="485303C6" w:rsidR="002864F4" w:rsidRPr="00D92B73" w:rsidRDefault="002864F4" w:rsidP="002864F4">
                            <w:pPr>
                              <w:autoSpaceDE w:val="0"/>
                              <w:autoSpaceDN w:val="0"/>
                              <w:adjustRightInd w:val="0"/>
                              <w:spacing w:after="240" w:line="240" w:lineRule="auto"/>
                              <w:jc w:val="right"/>
                              <w:rPr>
                                <w:rFonts w:ascii="Avenir Next LT Pro" w:eastAsia="Pretendard" w:hAnsi="Avenir Next LT Pro"/>
                                <w:color w:val="535453"/>
                                <w:sz w:val="13"/>
                                <w:szCs w:val="13"/>
                              </w:rPr>
                            </w:pPr>
                            <w:r w:rsidRPr="00D92B73">
                              <w:rPr>
                                <w:rFonts w:ascii="Avenir Next LT Pro" w:eastAsia="Pretendard" w:hAnsi="Avenir Next LT Pro"/>
                                <w:color w:val="535453"/>
                                <w:sz w:val="13"/>
                                <w:szCs w:val="13"/>
                              </w:rPr>
                              <w:t>MKT8840-</w:t>
                            </w:r>
                            <w:r w:rsidR="004B1FBB" w:rsidRPr="00D92B73">
                              <w:rPr>
                                <w:rFonts w:ascii="Avenir Next LT Pro" w:eastAsia="Pretendard" w:hAnsi="Avenir Next LT Pro"/>
                                <w:color w:val="535453"/>
                                <w:sz w:val="13"/>
                                <w:szCs w:val="13"/>
                              </w:rPr>
                              <w:t>2</w:t>
                            </w:r>
                          </w:p>
                          <w:p w14:paraId="701EB9EA" w14:textId="77777777" w:rsidR="002864F4" w:rsidRPr="00D92B73" w:rsidRDefault="002864F4">
                            <w:pPr>
                              <w:rPr>
                                <w:rFonts w:ascii="Avenir Next LT Pro" w:hAnsi="Avenir Next L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26CF62" id="_x0000_t202" coordsize="21600,21600" o:spt="202" path="m,l,21600r21600,l21600,xe">
                <v:stroke joinstyle="miter"/>
                <v:path gradientshapeok="t" o:connecttype="rect"/>
              </v:shapetype>
              <v:shape id="Text Box 1" o:spid="_x0000_s1026" type="#_x0000_t202" style="position:absolute;left:0;text-align:left;margin-left:459.1pt;margin-top:182.7pt;width:52.15pt;height:20.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" filled="f" stroked="f" strokeweight=".5pt">
                <v:textbox>
                  <w:txbxContent>
                    <w:p w14:paraId="54E5F07D" w14:textId="485303C6" w:rsidR="002864F4" w:rsidRPr="00D92B73" w:rsidRDefault="002864F4" w:rsidP="002864F4">
                      <w:pPr>
                        <w:autoSpaceDE w:val="0"/>
                        <w:autoSpaceDN w:val="0"/>
                        <w:adjustRightInd w:val="0"/>
                        <w:spacing w:after="240" w:line="240" w:lineRule="auto"/>
                        <w:jc w:val="right"/>
                        <w:rPr>
                          <w:rFonts w:ascii="Avenir Next LT Pro" w:eastAsia="Pretendard" w:hAnsi="Avenir Next LT Pro"/>
                          <w:color w:val="535453"/>
                          <w:sz w:val="13"/>
                          <w:szCs w:val="13"/>
                        </w:rPr>
                      </w:pPr>
                      <w:r w:rsidRPr="00D92B73">
                        <w:rPr>
                          <w:rFonts w:ascii="Avenir Next LT Pro" w:eastAsia="Pretendard" w:hAnsi="Avenir Next LT Pro"/>
                          <w:color w:val="535453"/>
                          <w:sz w:val="13"/>
                          <w:szCs w:val="13"/>
                        </w:rPr>
                        <w:t>MKT8840-</w:t>
                      </w:r>
                      <w:r w:rsidR="004B1FBB" w:rsidRPr="00D92B73">
                        <w:rPr>
                          <w:rFonts w:ascii="Avenir Next LT Pro" w:eastAsia="Pretendard" w:hAnsi="Avenir Next LT Pro"/>
                          <w:color w:val="535453"/>
                          <w:sz w:val="13"/>
                          <w:szCs w:val="13"/>
                        </w:rPr>
                        <w:t>2</w:t>
                      </w:r>
                    </w:p>
                    <w:p w14:paraId="701EB9EA" w14:textId="77777777" w:rsidR="002864F4" w:rsidRPr="00D92B73" w:rsidRDefault="002864F4">
                      <w:pPr>
                        <w:rPr>
                          <w:rFonts w:ascii="Avenir Next LT Pro" w:hAnsi="Avenir Next LT Pro"/>
                        </w:rPr>
                      </w:pPr>
                    </w:p>
                  </w:txbxContent>
                </v:textbox>
              </v:shape>
            </w:pict>
          </mc:Fallback>
        </mc:AlternateContent>
      </w:r>
      <w:r w:rsidRPr="00D92B73">
        <w:rPr>
          <w:rFonts w:ascii="Avenir Next LT Pro" w:hAnsi="Avenir Next LT Pro"/>
          <w:noProof/>
          <w:sz w:val="20"/>
          <w:szCs w:val="20"/>
        </w:rPr>
        <mc:AlternateContent>
          <mc:Choice Requires="wps">
            <w:drawing>
              <wp:anchor distT="0" distB="0" distL="114300" distR="114300" simplePos="0" relativeHeight="251661312" behindDoc="0" locked="0" layoutInCell="1" allowOverlap="1" wp14:anchorId="6DFA12E2" wp14:editId="7323E612">
                <wp:simplePos x="0" y="0"/>
                <wp:positionH relativeFrom="column">
                  <wp:posOffset>0</wp:posOffset>
                </wp:positionH>
                <wp:positionV relativeFrom="paragraph">
                  <wp:posOffset>1803019</wp:posOffset>
                </wp:positionV>
                <wp:extent cx="3282950" cy="749300"/>
                <wp:effectExtent l="0" t="0" r="0" b="0"/>
                <wp:wrapNone/>
                <wp:docPr id="961999946" name="Text Box 2"/>
                <wp:cNvGraphicFramePr/>
                <a:graphic xmlns:a="http://schemas.openxmlformats.org/drawingml/2006/main">
                  <a:graphicData uri="http://schemas.microsoft.com/office/word/2010/wordprocessingShape">
                    <wps:wsp>
                      <wps:cNvSpPr txBox="1"/>
                      <wps:spPr>
                        <a:xfrm>
                          <a:off x="0" y="0"/>
                          <a:ext cx="3282950" cy="749300"/>
                        </a:xfrm>
                        <a:prstGeom prst="rect">
                          <a:avLst/>
                        </a:prstGeom>
                        <a:noFill/>
                        <a:ln w="6350">
                          <a:noFill/>
                        </a:ln>
                      </wps:spPr>
                      <wps:txbx>
                        <w:txbxContent>
                          <w:p w14:paraId="7AF5DCDC" w14:textId="26E0FAA3" w:rsidR="00EA7110" w:rsidRPr="00D92B73" w:rsidRDefault="00EA7110"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SemiBold" w:hAnsi="Avenir Next LT Pro"/>
                                <w:b/>
                                <w:bCs/>
                                <w:color w:val="00B0F0"/>
                                <w:sz w:val="13"/>
                                <w:szCs w:val="13"/>
                              </w:rPr>
                              <w:t>+</w:t>
                            </w:r>
                            <w:r w:rsidRPr="00D92B73">
                              <w:rPr>
                                <w:rFonts w:ascii="Avenir Next LT Pro" w:eastAsia="Pretendard" w:hAnsi="Avenir Next LT Pro"/>
                                <w:color w:val="000000" w:themeColor="text1"/>
                                <w:sz w:val="13"/>
                                <w:szCs w:val="13"/>
                              </w:rPr>
                              <w:t xml:space="preserve"> INSIGHT MMG</w:t>
                            </w:r>
                          </w:p>
                          <w:p w14:paraId="5149175C" w14:textId="26753EC5" w:rsidR="00170D88" w:rsidRPr="00D92B73" w:rsidRDefault="00170D88"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w:hAnsi="Avenir Next LT Pro"/>
                                <w:color w:val="000000" w:themeColor="text1"/>
                                <w:sz w:val="13"/>
                                <w:szCs w:val="13"/>
                              </w:rPr>
                              <w:t>*References are available by scanning the QR code</w:t>
                            </w:r>
                          </w:p>
                          <w:p w14:paraId="248417E0" w14:textId="45A11FAD" w:rsidR="004F2ABC" w:rsidRPr="00D92B73" w:rsidRDefault="004F2ABC"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w:hAnsi="Avenir Next LT Pro"/>
                                <w:color w:val="000000" w:themeColor="text1"/>
                                <w:sz w:val="13"/>
                                <w:szCs w:val="13"/>
                              </w:rPr>
                              <w:t>Self-pay rates are subject to change at any time.</w:t>
                            </w:r>
                          </w:p>
                          <w:p w14:paraId="6D9917F7" w14:textId="204F7D3C" w:rsidR="004F2ABC" w:rsidRPr="00D92B73" w:rsidRDefault="004F2ABC"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w:hAnsi="Avenir Next LT Pro"/>
                                <w:color w:val="000000" w:themeColor="text1"/>
                                <w:sz w:val="13"/>
                                <w:szCs w:val="13"/>
                              </w:rPr>
                              <w:t>This AI software cannot guarantee breast cancer detection with 100% accuracy.</w:t>
                            </w:r>
                          </w:p>
                          <w:p w14:paraId="25395CFD" w14:textId="75041D88" w:rsidR="004F2ABC" w:rsidRPr="00D92B73" w:rsidRDefault="004F2ABC" w:rsidP="004F2ABC">
                            <w:pPr>
                              <w:spacing w:after="0" w:line="240" w:lineRule="auto"/>
                              <w:ind w:right="-720"/>
                              <w:rPr>
                                <w:rFonts w:ascii="Avenir Next LT Pro" w:eastAsia="Pretendard" w:hAnsi="Avenir Next LT Pro"/>
                                <w:color w:val="000000" w:themeColor="text1"/>
                                <w:sz w:val="13"/>
                                <w:szCs w:val="13"/>
                              </w:rPr>
                            </w:pPr>
                            <w:proofErr w:type="spellStart"/>
                            <w:r w:rsidRPr="00D92B73">
                              <w:rPr>
                                <w:rFonts w:ascii="Avenir Next LT Pro" w:eastAsia="Pretendard" w:hAnsi="Avenir Next LT Pro"/>
                                <w:color w:val="000000" w:themeColor="text1"/>
                                <w:sz w:val="13"/>
                                <w:szCs w:val="13"/>
                              </w:rPr>
                              <w:t>SecondReadAI</w:t>
                            </w:r>
                            <w:proofErr w:type="spellEnd"/>
                            <w:r w:rsidRPr="00D92B73">
                              <w:rPr>
                                <w:rFonts w:ascii="Avenir Next LT Pro" w:eastAsia="Pretendard" w:hAnsi="Avenir Next LT Pro"/>
                                <w:color w:val="000000" w:themeColor="text1"/>
                                <w:sz w:val="13"/>
                                <w:szCs w:val="13"/>
                              </w:rPr>
                              <w:t xml:space="preserve"> is a trademark of </w:t>
                            </w:r>
                            <w:proofErr w:type="spellStart"/>
                            <w:r w:rsidRPr="00D92B73">
                              <w:rPr>
                                <w:rFonts w:ascii="Avenir Next LT Pro" w:eastAsia="Pretendard" w:hAnsi="Avenir Next LT Pro"/>
                                <w:color w:val="000000" w:themeColor="text1"/>
                                <w:sz w:val="13"/>
                                <w:szCs w:val="13"/>
                              </w:rPr>
                              <w:t>Lunit</w:t>
                            </w:r>
                            <w:proofErr w:type="spellEnd"/>
                            <w:r w:rsidR="00131B43" w:rsidRPr="00D92B73">
                              <w:rPr>
                                <w:rFonts w:ascii="Avenir Next LT Pro" w:eastAsia="Pretendard" w:hAnsi="Avenir Next LT Pro"/>
                                <w:color w:val="000000" w:themeColor="text1"/>
                                <w:sz w:val="13"/>
                                <w:szCs w:val="13"/>
                              </w:rPr>
                              <w:t>® Inc.</w:t>
                            </w:r>
                          </w:p>
                          <w:p w14:paraId="24B10BEF" w14:textId="77777777" w:rsidR="004F2ABC" w:rsidRPr="00D92B73" w:rsidRDefault="004F2ABC" w:rsidP="004F2ABC">
                            <w:pPr>
                              <w:rPr>
                                <w:rFonts w:ascii="Avenir Next LT Pro" w:hAnsi="Avenir Next L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A12E2" id="Text Box 2" o:spid="_x0000_s1027" type="#_x0000_t202" style="position:absolute;left:0;text-align:left;margin-left:0;margin-top:141.95pt;width:258.5pt;height: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" filled="f" stroked="f" strokeweight=".5pt">
                <v:textbox>
                  <w:txbxContent>
                    <w:p w14:paraId="7AF5DCDC" w14:textId="26E0FAA3" w:rsidR="00EA7110" w:rsidRPr="00D92B73" w:rsidRDefault="00EA7110"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SemiBold" w:hAnsi="Avenir Next LT Pro"/>
                          <w:b/>
                          <w:bCs/>
                          <w:color w:val="00B0F0"/>
                          <w:sz w:val="13"/>
                          <w:szCs w:val="13"/>
                        </w:rPr>
                        <w:t>+</w:t>
                      </w:r>
                      <w:r w:rsidRPr="00D92B73">
                        <w:rPr>
                          <w:rFonts w:ascii="Avenir Next LT Pro" w:eastAsia="Pretendard" w:hAnsi="Avenir Next LT Pro"/>
                          <w:color w:val="000000" w:themeColor="text1"/>
                          <w:sz w:val="13"/>
                          <w:szCs w:val="13"/>
                        </w:rPr>
                        <w:t xml:space="preserve"> INSIGHT MMG</w:t>
                      </w:r>
                    </w:p>
                    <w:p w14:paraId="5149175C" w14:textId="26753EC5" w:rsidR="00170D88" w:rsidRPr="00D92B73" w:rsidRDefault="00170D88"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w:hAnsi="Avenir Next LT Pro"/>
                          <w:color w:val="000000" w:themeColor="text1"/>
                          <w:sz w:val="13"/>
                          <w:szCs w:val="13"/>
                        </w:rPr>
                        <w:t>*References are available by scanning the QR code</w:t>
                      </w:r>
                    </w:p>
                    <w:p w14:paraId="248417E0" w14:textId="45A11FAD" w:rsidR="004F2ABC" w:rsidRPr="00D92B73" w:rsidRDefault="004F2ABC"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w:hAnsi="Avenir Next LT Pro"/>
                          <w:color w:val="000000" w:themeColor="text1"/>
                          <w:sz w:val="13"/>
                          <w:szCs w:val="13"/>
                        </w:rPr>
                        <w:t>Self-pay rates are subject to change at any time.</w:t>
                      </w:r>
                    </w:p>
                    <w:p w14:paraId="6D9917F7" w14:textId="204F7D3C" w:rsidR="004F2ABC" w:rsidRPr="00D92B73" w:rsidRDefault="004F2ABC" w:rsidP="004F2ABC">
                      <w:pPr>
                        <w:spacing w:after="0" w:line="240" w:lineRule="auto"/>
                        <w:rPr>
                          <w:rFonts w:ascii="Avenir Next LT Pro" w:eastAsia="Pretendard" w:hAnsi="Avenir Next LT Pro"/>
                          <w:color w:val="000000" w:themeColor="text1"/>
                          <w:sz w:val="13"/>
                          <w:szCs w:val="13"/>
                        </w:rPr>
                      </w:pPr>
                      <w:r w:rsidRPr="00D92B73">
                        <w:rPr>
                          <w:rFonts w:ascii="Avenir Next LT Pro" w:eastAsia="Pretendard" w:hAnsi="Avenir Next LT Pro"/>
                          <w:color w:val="000000" w:themeColor="text1"/>
                          <w:sz w:val="13"/>
                          <w:szCs w:val="13"/>
                        </w:rPr>
                        <w:t>This AI software cannot guarantee breast cancer detection with 100% accuracy.</w:t>
                      </w:r>
                    </w:p>
                    <w:p w14:paraId="25395CFD" w14:textId="75041D88" w:rsidR="004F2ABC" w:rsidRPr="00D92B73" w:rsidRDefault="004F2ABC" w:rsidP="004F2ABC">
                      <w:pPr>
                        <w:spacing w:after="0" w:line="240" w:lineRule="auto"/>
                        <w:ind w:right="-720"/>
                        <w:rPr>
                          <w:rFonts w:ascii="Avenir Next LT Pro" w:eastAsia="Pretendard" w:hAnsi="Avenir Next LT Pro"/>
                          <w:color w:val="000000" w:themeColor="text1"/>
                          <w:sz w:val="13"/>
                          <w:szCs w:val="13"/>
                        </w:rPr>
                      </w:pPr>
                      <w:proofErr w:type="spellStart"/>
                      <w:r w:rsidRPr="00D92B73">
                        <w:rPr>
                          <w:rFonts w:ascii="Avenir Next LT Pro" w:eastAsia="Pretendard" w:hAnsi="Avenir Next LT Pro"/>
                          <w:color w:val="000000" w:themeColor="text1"/>
                          <w:sz w:val="13"/>
                          <w:szCs w:val="13"/>
                        </w:rPr>
                        <w:t>SecondReadAI</w:t>
                      </w:r>
                      <w:proofErr w:type="spellEnd"/>
                      <w:r w:rsidRPr="00D92B73">
                        <w:rPr>
                          <w:rFonts w:ascii="Avenir Next LT Pro" w:eastAsia="Pretendard" w:hAnsi="Avenir Next LT Pro"/>
                          <w:color w:val="000000" w:themeColor="text1"/>
                          <w:sz w:val="13"/>
                          <w:szCs w:val="13"/>
                        </w:rPr>
                        <w:t xml:space="preserve"> is a trademark of </w:t>
                      </w:r>
                      <w:proofErr w:type="spellStart"/>
                      <w:r w:rsidRPr="00D92B73">
                        <w:rPr>
                          <w:rFonts w:ascii="Avenir Next LT Pro" w:eastAsia="Pretendard" w:hAnsi="Avenir Next LT Pro"/>
                          <w:color w:val="000000" w:themeColor="text1"/>
                          <w:sz w:val="13"/>
                          <w:szCs w:val="13"/>
                        </w:rPr>
                        <w:t>Lunit</w:t>
                      </w:r>
                      <w:proofErr w:type="spellEnd"/>
                      <w:r w:rsidR="00131B43" w:rsidRPr="00D92B73">
                        <w:rPr>
                          <w:rFonts w:ascii="Avenir Next LT Pro" w:eastAsia="Pretendard" w:hAnsi="Avenir Next LT Pro"/>
                          <w:color w:val="000000" w:themeColor="text1"/>
                          <w:sz w:val="13"/>
                          <w:szCs w:val="13"/>
                        </w:rPr>
                        <w:t>® Inc.</w:t>
                      </w:r>
                    </w:p>
                    <w:p w14:paraId="24B10BEF" w14:textId="77777777" w:rsidR="004F2ABC" w:rsidRPr="00D92B73" w:rsidRDefault="004F2ABC" w:rsidP="004F2ABC">
                      <w:pPr>
                        <w:rPr>
                          <w:rFonts w:ascii="Avenir Next LT Pro" w:hAnsi="Avenir Next LT Pro"/>
                        </w:rPr>
                      </w:pPr>
                    </w:p>
                  </w:txbxContent>
                </v:textbox>
              </v:shape>
            </w:pict>
          </mc:Fallback>
        </mc:AlternateContent>
      </w:r>
    </w:p>
    <w:sectPr w:rsidR="00B80BE5" w:rsidRPr="00D92B73" w:rsidSect="00B80BE5">
      <w:footerReference w:type="default" r:id="rId9"/>
      <w:footerReference w:type="first" r:id="rId10"/>
      <w:pgSz w:w="12240" w:h="15840"/>
      <w:pgMar w:top="711" w:right="1440" w:bottom="747" w:left="72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46C7F" w14:textId="77777777" w:rsidR="00331425" w:rsidRDefault="00331425" w:rsidP="007E64EC">
      <w:pPr>
        <w:spacing w:after="0" w:line="240" w:lineRule="auto"/>
      </w:pPr>
      <w:r>
        <w:separator/>
      </w:r>
    </w:p>
  </w:endnote>
  <w:endnote w:type="continuationSeparator" w:id="0">
    <w:p w14:paraId="50B80776" w14:textId="77777777" w:rsidR="00331425" w:rsidRDefault="00331425" w:rsidP="007E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D-DIN">
    <w:altName w:val="Calibri"/>
    <w:panose1 w:val="020B0504030202030204"/>
    <w:charset w:val="4D"/>
    <w:family w:val="swiss"/>
    <w:notTrueType/>
    <w:pitch w:val="variable"/>
    <w:sig w:usb0="8000006F" w:usb1="4000000A"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Pretendard">
    <w:altName w:val="Malgun Gothic"/>
    <w:panose1 w:val="02000503000000020004"/>
    <w:charset w:val="81"/>
    <w:family w:val="auto"/>
    <w:notTrueType/>
    <w:pitch w:val="variable"/>
    <w:sig w:usb0="E10002FF" w:usb1="1B57E5FF" w:usb2="04000011" w:usb3="00000000" w:csb0="0028019F" w:csb1="00000000"/>
  </w:font>
  <w:font w:name="Pretendard SemiBold">
    <w:panose1 w:val="02000703000000020004"/>
    <w:charset w:val="81"/>
    <w:family w:val="auto"/>
    <w:notTrueType/>
    <w:pitch w:val="variable"/>
    <w:sig w:usb0="E10002FF" w:usb1="1B57E5FF" w:usb2="04000011" w:usb3="00000000" w:csb0="0028019F" w:csb1="00000000"/>
  </w:font>
  <w:font w:name="Arial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2A2C" w14:textId="3CF06101" w:rsidR="007E64EC" w:rsidRPr="003C33F1" w:rsidRDefault="003C33F1" w:rsidP="003C33F1">
    <w:pPr>
      <w:spacing w:after="240" w:line="240" w:lineRule="auto"/>
      <w:ind w:right="-720"/>
      <w:jc w:val="right"/>
      <w:rPr>
        <w:rFonts w:ascii="Pretendard" w:eastAsia="Pretendard" w:hAnsi="Pretendard"/>
        <w:sz w:val="13"/>
        <w:szCs w:val="13"/>
      </w:rPr>
    </w:pPr>
    <w:r w:rsidRPr="007E64EC">
      <w:rPr>
        <w:rFonts w:ascii="Pretendard" w:eastAsia="Pretendard" w:hAnsi="Pretendard"/>
        <w:sz w:val="13"/>
        <w:szCs w:val="13"/>
      </w:rPr>
      <w:t>MKT8842-1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B65A" w14:textId="3C7F08F3" w:rsidR="002864F4" w:rsidRPr="00BD4ED1" w:rsidRDefault="002864F4" w:rsidP="002864F4">
    <w:pPr>
      <w:spacing w:after="0" w:line="240" w:lineRule="auto"/>
      <w:ind w:right="-720"/>
      <w:rPr>
        <w:rFonts w:ascii="Pretendard" w:eastAsia="Pretendard" w:hAnsi="Pretendard"/>
        <w:color w:val="000000" w:themeColor="text1"/>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98DEB" w14:textId="77777777" w:rsidR="00331425" w:rsidRDefault="00331425" w:rsidP="007E64EC">
      <w:pPr>
        <w:spacing w:after="0" w:line="240" w:lineRule="auto"/>
      </w:pPr>
      <w:r>
        <w:separator/>
      </w:r>
    </w:p>
  </w:footnote>
  <w:footnote w:type="continuationSeparator" w:id="0">
    <w:p w14:paraId="2E4683D9" w14:textId="77777777" w:rsidR="00331425" w:rsidRDefault="00331425" w:rsidP="007E6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563A0"/>
    <w:multiLevelType w:val="hybridMultilevel"/>
    <w:tmpl w:val="8BBE9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5E65B4E"/>
    <w:multiLevelType w:val="hybridMultilevel"/>
    <w:tmpl w:val="2C40D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65272D"/>
    <w:multiLevelType w:val="hybridMultilevel"/>
    <w:tmpl w:val="093C7C1A"/>
    <w:lvl w:ilvl="0" w:tplc="EEC2227A">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CEE1AC1"/>
    <w:multiLevelType w:val="multilevel"/>
    <w:tmpl w:val="3E4C6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7305199">
    <w:abstractNumId w:val="0"/>
  </w:num>
  <w:num w:numId="2" w16cid:durableId="1325007791">
    <w:abstractNumId w:val="3"/>
  </w:num>
  <w:num w:numId="3" w16cid:durableId="739059085">
    <w:abstractNumId w:val="1"/>
  </w:num>
  <w:num w:numId="4" w16cid:durableId="883176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4C"/>
    <w:rsid w:val="00006F13"/>
    <w:rsid w:val="00023048"/>
    <w:rsid w:val="00044BD8"/>
    <w:rsid w:val="00046DD4"/>
    <w:rsid w:val="000666BE"/>
    <w:rsid w:val="000D72AB"/>
    <w:rsid w:val="000E2982"/>
    <w:rsid w:val="000E7EAA"/>
    <w:rsid w:val="000F41E3"/>
    <w:rsid w:val="0012279B"/>
    <w:rsid w:val="00131B43"/>
    <w:rsid w:val="001360A5"/>
    <w:rsid w:val="0013761A"/>
    <w:rsid w:val="00137915"/>
    <w:rsid w:val="00170D88"/>
    <w:rsid w:val="001828EB"/>
    <w:rsid w:val="001B593D"/>
    <w:rsid w:val="001B5F43"/>
    <w:rsid w:val="001B7581"/>
    <w:rsid w:val="001D1A20"/>
    <w:rsid w:val="001E5EAE"/>
    <w:rsid w:val="002130C4"/>
    <w:rsid w:val="00241931"/>
    <w:rsid w:val="0027331E"/>
    <w:rsid w:val="00283313"/>
    <w:rsid w:val="002864F4"/>
    <w:rsid w:val="002B016E"/>
    <w:rsid w:val="002C0159"/>
    <w:rsid w:val="002E2A6D"/>
    <w:rsid w:val="002E70D7"/>
    <w:rsid w:val="002F4E50"/>
    <w:rsid w:val="00325FFF"/>
    <w:rsid w:val="00331425"/>
    <w:rsid w:val="00351690"/>
    <w:rsid w:val="00360DE7"/>
    <w:rsid w:val="003C1986"/>
    <w:rsid w:val="003C33F1"/>
    <w:rsid w:val="003C5E08"/>
    <w:rsid w:val="003E7C74"/>
    <w:rsid w:val="003F371D"/>
    <w:rsid w:val="003F5B12"/>
    <w:rsid w:val="004001F5"/>
    <w:rsid w:val="00400953"/>
    <w:rsid w:val="0041448F"/>
    <w:rsid w:val="004563A0"/>
    <w:rsid w:val="00462359"/>
    <w:rsid w:val="00484486"/>
    <w:rsid w:val="0049081B"/>
    <w:rsid w:val="00490ECD"/>
    <w:rsid w:val="004A27D2"/>
    <w:rsid w:val="004B1FBB"/>
    <w:rsid w:val="004B3D85"/>
    <w:rsid w:val="004C5B02"/>
    <w:rsid w:val="004F0D7C"/>
    <w:rsid w:val="004F1FC5"/>
    <w:rsid w:val="004F2ABC"/>
    <w:rsid w:val="0050783C"/>
    <w:rsid w:val="00521EA1"/>
    <w:rsid w:val="0055755B"/>
    <w:rsid w:val="00575F4B"/>
    <w:rsid w:val="00583EF4"/>
    <w:rsid w:val="005A2AE3"/>
    <w:rsid w:val="005A5A92"/>
    <w:rsid w:val="006065A6"/>
    <w:rsid w:val="006074B6"/>
    <w:rsid w:val="00623B49"/>
    <w:rsid w:val="006255A8"/>
    <w:rsid w:val="006560D5"/>
    <w:rsid w:val="00662CCF"/>
    <w:rsid w:val="00673A0D"/>
    <w:rsid w:val="006830EC"/>
    <w:rsid w:val="006B2107"/>
    <w:rsid w:val="006E7442"/>
    <w:rsid w:val="007263C5"/>
    <w:rsid w:val="00764C30"/>
    <w:rsid w:val="0078492C"/>
    <w:rsid w:val="0079074D"/>
    <w:rsid w:val="00791018"/>
    <w:rsid w:val="007916B2"/>
    <w:rsid w:val="0079236A"/>
    <w:rsid w:val="00793E21"/>
    <w:rsid w:val="00795905"/>
    <w:rsid w:val="007A3286"/>
    <w:rsid w:val="007B2CD7"/>
    <w:rsid w:val="007C39CF"/>
    <w:rsid w:val="007E10F4"/>
    <w:rsid w:val="007E64EC"/>
    <w:rsid w:val="007F0FDF"/>
    <w:rsid w:val="00811D27"/>
    <w:rsid w:val="00817805"/>
    <w:rsid w:val="008A36B3"/>
    <w:rsid w:val="008C0F38"/>
    <w:rsid w:val="008C1EB0"/>
    <w:rsid w:val="008E4B6F"/>
    <w:rsid w:val="008F27E3"/>
    <w:rsid w:val="009515E5"/>
    <w:rsid w:val="00972B90"/>
    <w:rsid w:val="009856A4"/>
    <w:rsid w:val="00993F56"/>
    <w:rsid w:val="009D6905"/>
    <w:rsid w:val="009E1872"/>
    <w:rsid w:val="009E3D99"/>
    <w:rsid w:val="009E3F54"/>
    <w:rsid w:val="00A2368A"/>
    <w:rsid w:val="00A2424C"/>
    <w:rsid w:val="00A42DD1"/>
    <w:rsid w:val="00A67551"/>
    <w:rsid w:val="00A77D26"/>
    <w:rsid w:val="00A87AB1"/>
    <w:rsid w:val="00AA2512"/>
    <w:rsid w:val="00AC1CBA"/>
    <w:rsid w:val="00AE112A"/>
    <w:rsid w:val="00B30C42"/>
    <w:rsid w:val="00B33784"/>
    <w:rsid w:val="00B35E1B"/>
    <w:rsid w:val="00B37D4C"/>
    <w:rsid w:val="00B44680"/>
    <w:rsid w:val="00B45B12"/>
    <w:rsid w:val="00B56E41"/>
    <w:rsid w:val="00B65943"/>
    <w:rsid w:val="00B66600"/>
    <w:rsid w:val="00B7717A"/>
    <w:rsid w:val="00B7785C"/>
    <w:rsid w:val="00B80BE5"/>
    <w:rsid w:val="00B85D5F"/>
    <w:rsid w:val="00B87948"/>
    <w:rsid w:val="00BA2851"/>
    <w:rsid w:val="00BD4942"/>
    <w:rsid w:val="00BD4ED1"/>
    <w:rsid w:val="00BE04C2"/>
    <w:rsid w:val="00BF183F"/>
    <w:rsid w:val="00C32E41"/>
    <w:rsid w:val="00C32F36"/>
    <w:rsid w:val="00C40EFF"/>
    <w:rsid w:val="00C4613B"/>
    <w:rsid w:val="00C57843"/>
    <w:rsid w:val="00C61746"/>
    <w:rsid w:val="00C832CA"/>
    <w:rsid w:val="00CC11ED"/>
    <w:rsid w:val="00CC2C29"/>
    <w:rsid w:val="00CD1F16"/>
    <w:rsid w:val="00CE50D6"/>
    <w:rsid w:val="00CF3633"/>
    <w:rsid w:val="00D131D3"/>
    <w:rsid w:val="00D22A31"/>
    <w:rsid w:val="00D3141D"/>
    <w:rsid w:val="00D66BAA"/>
    <w:rsid w:val="00D67BE6"/>
    <w:rsid w:val="00D87733"/>
    <w:rsid w:val="00D92B73"/>
    <w:rsid w:val="00DB2155"/>
    <w:rsid w:val="00DB470A"/>
    <w:rsid w:val="00DE7E66"/>
    <w:rsid w:val="00DF0666"/>
    <w:rsid w:val="00DF1CCF"/>
    <w:rsid w:val="00E15C4C"/>
    <w:rsid w:val="00E255AE"/>
    <w:rsid w:val="00E4059D"/>
    <w:rsid w:val="00E5077D"/>
    <w:rsid w:val="00E54172"/>
    <w:rsid w:val="00E66617"/>
    <w:rsid w:val="00E923BE"/>
    <w:rsid w:val="00EA6B16"/>
    <w:rsid w:val="00EA7110"/>
    <w:rsid w:val="00EB08E6"/>
    <w:rsid w:val="00EC466B"/>
    <w:rsid w:val="00ED64C2"/>
    <w:rsid w:val="00EE0D18"/>
    <w:rsid w:val="00EF2E49"/>
    <w:rsid w:val="00F02C91"/>
    <w:rsid w:val="00F12DDB"/>
    <w:rsid w:val="00F42E9C"/>
    <w:rsid w:val="00F505F8"/>
    <w:rsid w:val="00F63088"/>
    <w:rsid w:val="00F84662"/>
    <w:rsid w:val="00F91832"/>
    <w:rsid w:val="00F928E4"/>
    <w:rsid w:val="00F95585"/>
    <w:rsid w:val="00F95B6E"/>
    <w:rsid w:val="00FF77CE"/>
    <w:rsid w:val="789CF8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A185A"/>
  <w15:chartTrackingRefBased/>
  <w15:docId w15:val="{D16B4FC7-650E-4957-9819-4B144AE3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0D7"/>
    <w:rPr>
      <w:rFonts w:eastAsiaTheme="minorEastAsia"/>
    </w:rPr>
  </w:style>
  <w:style w:type="paragraph" w:styleId="Heading1">
    <w:name w:val="heading 1"/>
    <w:basedOn w:val="Normal"/>
    <w:next w:val="Normal"/>
    <w:link w:val="Heading1Char"/>
    <w:uiPriority w:val="9"/>
    <w:qFormat/>
    <w:rsid w:val="00B37D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D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D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D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D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D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D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D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D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D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D4C"/>
    <w:rPr>
      <w:rFonts w:eastAsiaTheme="majorEastAsia" w:cstheme="majorBidi"/>
      <w:color w:val="272727" w:themeColor="text1" w:themeTint="D8"/>
    </w:rPr>
  </w:style>
  <w:style w:type="paragraph" w:styleId="Title">
    <w:name w:val="Title"/>
    <w:basedOn w:val="Normal"/>
    <w:next w:val="Normal"/>
    <w:link w:val="TitleChar"/>
    <w:uiPriority w:val="10"/>
    <w:qFormat/>
    <w:rsid w:val="00B37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D4C"/>
    <w:pPr>
      <w:spacing w:before="160"/>
      <w:jc w:val="center"/>
    </w:pPr>
    <w:rPr>
      <w:i/>
      <w:iCs/>
      <w:color w:val="404040" w:themeColor="text1" w:themeTint="BF"/>
    </w:rPr>
  </w:style>
  <w:style w:type="character" w:customStyle="1" w:styleId="QuoteChar">
    <w:name w:val="Quote Char"/>
    <w:basedOn w:val="DefaultParagraphFont"/>
    <w:link w:val="Quote"/>
    <w:uiPriority w:val="29"/>
    <w:rsid w:val="00B37D4C"/>
    <w:rPr>
      <w:i/>
      <w:iCs/>
      <w:color w:val="404040" w:themeColor="text1" w:themeTint="BF"/>
    </w:rPr>
  </w:style>
  <w:style w:type="paragraph" w:styleId="ListParagraph">
    <w:name w:val="List Paragraph"/>
    <w:basedOn w:val="Normal"/>
    <w:uiPriority w:val="34"/>
    <w:qFormat/>
    <w:rsid w:val="00B37D4C"/>
    <w:pPr>
      <w:ind w:left="720"/>
      <w:contextualSpacing/>
    </w:pPr>
  </w:style>
  <w:style w:type="character" w:styleId="IntenseEmphasis">
    <w:name w:val="Intense Emphasis"/>
    <w:basedOn w:val="DefaultParagraphFont"/>
    <w:uiPriority w:val="21"/>
    <w:qFormat/>
    <w:rsid w:val="00B37D4C"/>
    <w:rPr>
      <w:i/>
      <w:iCs/>
      <w:color w:val="0F4761" w:themeColor="accent1" w:themeShade="BF"/>
    </w:rPr>
  </w:style>
  <w:style w:type="paragraph" w:styleId="IntenseQuote">
    <w:name w:val="Intense Quote"/>
    <w:basedOn w:val="Normal"/>
    <w:next w:val="Normal"/>
    <w:link w:val="IntenseQuoteChar"/>
    <w:uiPriority w:val="30"/>
    <w:qFormat/>
    <w:rsid w:val="00B37D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D4C"/>
    <w:rPr>
      <w:i/>
      <w:iCs/>
      <w:color w:val="0F4761" w:themeColor="accent1" w:themeShade="BF"/>
    </w:rPr>
  </w:style>
  <w:style w:type="character" w:styleId="IntenseReference">
    <w:name w:val="Intense Reference"/>
    <w:basedOn w:val="DefaultParagraphFont"/>
    <w:uiPriority w:val="32"/>
    <w:qFormat/>
    <w:rsid w:val="00B37D4C"/>
    <w:rPr>
      <w:b/>
      <w:bCs/>
      <w:smallCaps/>
      <w:color w:val="0F4761" w:themeColor="accent1" w:themeShade="BF"/>
      <w:spacing w:val="5"/>
    </w:rPr>
  </w:style>
  <w:style w:type="character" w:styleId="Strong">
    <w:name w:val="Strong"/>
    <w:basedOn w:val="DefaultParagraphFont"/>
    <w:uiPriority w:val="22"/>
    <w:qFormat/>
    <w:rsid w:val="00C832CA"/>
    <w:rPr>
      <w:b/>
      <w:bCs/>
    </w:rPr>
  </w:style>
  <w:style w:type="character" w:styleId="Hyperlink">
    <w:name w:val="Hyperlink"/>
    <w:basedOn w:val="DefaultParagraphFont"/>
    <w:uiPriority w:val="99"/>
    <w:unhideWhenUsed/>
    <w:rsid w:val="0012279B"/>
    <w:rPr>
      <w:color w:val="0000FF"/>
      <w:u w:val="single"/>
    </w:rPr>
  </w:style>
  <w:style w:type="character" w:customStyle="1" w:styleId="A5">
    <w:name w:val="A5"/>
    <w:uiPriority w:val="99"/>
    <w:rsid w:val="002E70D7"/>
    <w:rPr>
      <w:rFonts w:cs="D-DIN"/>
      <w:color w:val="535453"/>
      <w:sz w:val="20"/>
      <w:szCs w:val="20"/>
    </w:rPr>
  </w:style>
  <w:style w:type="character" w:customStyle="1" w:styleId="A9">
    <w:name w:val="A9"/>
    <w:uiPriority w:val="99"/>
    <w:rsid w:val="002E70D7"/>
    <w:rPr>
      <w:rFonts w:cs="D-DIN"/>
      <w:color w:val="535453"/>
      <w:sz w:val="11"/>
      <w:szCs w:val="11"/>
    </w:rPr>
  </w:style>
  <w:style w:type="character" w:customStyle="1" w:styleId="cf01">
    <w:name w:val="cf01"/>
    <w:basedOn w:val="DefaultParagraphFont"/>
    <w:rsid w:val="002E70D7"/>
    <w:rPr>
      <w:rFonts w:ascii="Segoe UI" w:hAnsi="Segoe UI" w:cs="Segoe UI" w:hint="default"/>
      <w:sz w:val="18"/>
      <w:szCs w:val="18"/>
    </w:rPr>
  </w:style>
  <w:style w:type="paragraph" w:styleId="NormalWeb">
    <w:name w:val="Normal (Web)"/>
    <w:basedOn w:val="Normal"/>
    <w:uiPriority w:val="99"/>
    <w:unhideWhenUsed/>
    <w:rsid w:val="002E70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7E64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4EC"/>
    <w:rPr>
      <w:rFonts w:eastAsiaTheme="minorEastAsia"/>
    </w:rPr>
  </w:style>
  <w:style w:type="paragraph" w:styleId="Footer">
    <w:name w:val="footer"/>
    <w:basedOn w:val="Normal"/>
    <w:link w:val="FooterChar"/>
    <w:uiPriority w:val="99"/>
    <w:unhideWhenUsed/>
    <w:rsid w:val="007E64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4EC"/>
    <w:rPr>
      <w:rFonts w:eastAsiaTheme="minorEastAsia"/>
    </w:rPr>
  </w:style>
  <w:style w:type="paragraph" w:styleId="FootnoteText">
    <w:name w:val="footnote text"/>
    <w:basedOn w:val="Normal"/>
    <w:link w:val="FootnoteTextChar"/>
    <w:uiPriority w:val="99"/>
    <w:semiHidden/>
    <w:unhideWhenUsed/>
    <w:rsid w:val="007E64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4EC"/>
    <w:rPr>
      <w:rFonts w:eastAsiaTheme="minorEastAsia"/>
      <w:sz w:val="20"/>
      <w:szCs w:val="20"/>
    </w:rPr>
  </w:style>
  <w:style w:type="character" w:styleId="FootnoteReference">
    <w:name w:val="footnote reference"/>
    <w:basedOn w:val="DefaultParagraphFont"/>
    <w:uiPriority w:val="99"/>
    <w:semiHidden/>
    <w:unhideWhenUsed/>
    <w:rsid w:val="007E64EC"/>
    <w:rPr>
      <w:vertAlign w:val="superscript"/>
    </w:rPr>
  </w:style>
  <w:style w:type="paragraph" w:customStyle="1" w:styleId="Default">
    <w:name w:val="Default"/>
    <w:rsid w:val="00B80BE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98801">
      <w:bodyDiv w:val="1"/>
      <w:marLeft w:val="0"/>
      <w:marRight w:val="0"/>
      <w:marTop w:val="0"/>
      <w:marBottom w:val="0"/>
      <w:divBdr>
        <w:top w:val="none" w:sz="0" w:space="0" w:color="auto"/>
        <w:left w:val="none" w:sz="0" w:space="0" w:color="auto"/>
        <w:bottom w:val="none" w:sz="0" w:space="0" w:color="auto"/>
        <w:right w:val="none" w:sz="0" w:space="0" w:color="auto"/>
      </w:divBdr>
    </w:div>
    <w:div w:id="178587624">
      <w:bodyDiv w:val="1"/>
      <w:marLeft w:val="0"/>
      <w:marRight w:val="0"/>
      <w:marTop w:val="0"/>
      <w:marBottom w:val="0"/>
      <w:divBdr>
        <w:top w:val="none" w:sz="0" w:space="0" w:color="auto"/>
        <w:left w:val="none" w:sz="0" w:space="0" w:color="auto"/>
        <w:bottom w:val="none" w:sz="0" w:space="0" w:color="auto"/>
        <w:right w:val="none" w:sz="0" w:space="0" w:color="auto"/>
      </w:divBdr>
    </w:div>
    <w:div w:id="2101175787">
      <w:bodyDiv w:val="1"/>
      <w:marLeft w:val="0"/>
      <w:marRight w:val="0"/>
      <w:marTop w:val="0"/>
      <w:marBottom w:val="0"/>
      <w:divBdr>
        <w:top w:val="none" w:sz="0" w:space="0" w:color="auto"/>
        <w:left w:val="none" w:sz="0" w:space="0" w:color="auto"/>
        <w:bottom w:val="none" w:sz="0" w:space="0" w:color="auto"/>
        <w:right w:val="none" w:sz="0" w:space="0" w:color="auto"/>
      </w:divBdr>
    </w:div>
    <w:div w:id="212508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Morgan</dc:creator>
  <cp:keywords/>
  <dc:description/>
  <cp:lastModifiedBy>shelbey</cp:lastModifiedBy>
  <cp:revision>11</cp:revision>
  <dcterms:created xsi:type="dcterms:W3CDTF">2024-11-17T19:51:00Z</dcterms:created>
  <dcterms:modified xsi:type="dcterms:W3CDTF">2025-01-16T15:31:00Z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76fcee7310f5dfea0cda11a748ffffbd196ccd823350162c25ddd9a7d291b34a</vt:lpwstr>
  </property>
</Properties>
</file>